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6CD4" w14:textId="709D3601" w:rsidR="006F4B87" w:rsidRDefault="006F4B87" w:rsidP="006F4B87">
      <w:pPr>
        <w:jc w:val="both"/>
        <w:rPr>
          <w:rFonts w:ascii="Times New Roman" w:hAnsi="Times New Roman" w:cs="Times New Roman"/>
          <w:b/>
          <w:bCs/>
          <w:lang w:val="es-ES"/>
        </w:rPr>
      </w:pPr>
      <w:r w:rsidRPr="006F4B87">
        <w:rPr>
          <w:rFonts w:ascii="Times New Roman" w:hAnsi="Times New Roman" w:cs="Times New Roman"/>
          <w:b/>
          <w:bCs/>
          <w:lang w:val="es-ES"/>
        </w:rPr>
        <w:t xml:space="preserve">Anexo normativo — Capítulo </w:t>
      </w:r>
      <w:r w:rsidR="00A21E5E">
        <w:rPr>
          <w:rFonts w:ascii="Times New Roman" w:hAnsi="Times New Roman" w:cs="Times New Roman"/>
          <w:b/>
          <w:bCs/>
          <w:lang w:val="es-ES"/>
        </w:rPr>
        <w:t>4</w:t>
      </w:r>
    </w:p>
    <w:p w14:paraId="6CC16DCE" w14:textId="539E6B13" w:rsidR="00143785" w:rsidRPr="00143785" w:rsidRDefault="00143785" w:rsidP="006F4B87">
      <w:pPr>
        <w:jc w:val="both"/>
        <w:rPr>
          <w:rFonts w:ascii="Times New Roman" w:hAnsi="Times New Roman" w:cs="Times New Roman"/>
          <w:b/>
          <w:bCs/>
          <w:lang w:val="es-ES"/>
        </w:rPr>
      </w:pPr>
      <w:r w:rsidRPr="00143785">
        <w:rPr>
          <w:rFonts w:ascii="Times New Roman" w:hAnsi="Times New Roman" w:cs="Times New Roman"/>
          <w:b/>
          <w:bCs/>
          <w:lang w:val="es-ES"/>
        </w:rPr>
        <w:t>Actitudes del demandado frente a la demanda</w:t>
      </w:r>
    </w:p>
    <w:p w14:paraId="7524D631"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Los textos citados corresponden al texto aprobado por la Cámara de Diputados en 2014, en el marco del proyecto de nuevo Código Procesal Civil, Boletín N° 8.197-07. La numeración puede variar en una consolidación posterior con indicaciones del Ejecutivo de 2021. Este documento no corresponde a un texto refundido oficial.</w:t>
      </w:r>
    </w:p>
    <w:p w14:paraId="213A0C1D" w14:textId="77777777" w:rsidR="007766BF" w:rsidRPr="007766BF" w:rsidRDefault="007766BF" w:rsidP="007766BF">
      <w:pPr>
        <w:jc w:val="both"/>
        <w:rPr>
          <w:rFonts w:ascii="Times New Roman" w:hAnsi="Times New Roman" w:cs="Times New Roman"/>
          <w:b/>
          <w:bCs/>
          <w:lang w:val="es-ES"/>
        </w:rPr>
      </w:pPr>
      <w:r w:rsidRPr="007766BF">
        <w:rPr>
          <w:rFonts w:ascii="Times New Roman" w:hAnsi="Times New Roman" w:cs="Times New Roman"/>
          <w:b/>
          <w:bCs/>
          <w:lang w:val="es-ES"/>
        </w:rPr>
        <w:t>Artículo 264.- Rebeldía.</w:t>
      </w:r>
    </w:p>
    <w:p w14:paraId="4AEF872E"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Cuando el demandado debidamente emplazado no comparezca dentro del plazo correspondiente, el tribunal tendrá por evacuado el trámite de contestación de la demanda y el proceso seguirá su curso.</w:t>
      </w:r>
    </w:p>
    <w:p w14:paraId="6221D6F6"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El demandado rebelde podrá comparecer en cualquier estado del proceso, pero respetando lo que se hubiere actuado con antelación.</w:t>
      </w:r>
    </w:p>
    <w:p w14:paraId="474080BF" w14:textId="77777777" w:rsidR="007766BF" w:rsidRPr="007766BF" w:rsidRDefault="007766BF" w:rsidP="007766BF">
      <w:pPr>
        <w:jc w:val="both"/>
        <w:rPr>
          <w:rFonts w:ascii="Times New Roman" w:hAnsi="Times New Roman" w:cs="Times New Roman"/>
          <w:b/>
          <w:bCs/>
          <w:lang w:val="es-ES"/>
        </w:rPr>
      </w:pPr>
      <w:r w:rsidRPr="007766BF">
        <w:rPr>
          <w:rFonts w:ascii="Times New Roman" w:hAnsi="Times New Roman" w:cs="Times New Roman"/>
          <w:b/>
          <w:bCs/>
          <w:lang w:val="es-ES"/>
        </w:rPr>
        <w:t>Artículo 265.- Actitudes del demandado.</w:t>
      </w:r>
    </w:p>
    <w:p w14:paraId="1097F003"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El demandado puede allanarse total o parcialmente a la demanda, plantear excepciones previas, contestar la demanda y, eventualmente, deducir reconvención, dando cumplimiento a lo previsto en el Título VII del Libro Primero. Si adoptara más de una de estas actitudes, deberá hacerlo en el mismo escrito, formulando sus diversas peticiones de modo subsidiario si fueren incompatibles entre sí.</w:t>
      </w:r>
    </w:p>
    <w:p w14:paraId="2FDF67A7" w14:textId="77777777" w:rsidR="007766BF" w:rsidRPr="007766BF" w:rsidRDefault="007766BF" w:rsidP="007766BF">
      <w:pPr>
        <w:jc w:val="both"/>
        <w:rPr>
          <w:rFonts w:ascii="Times New Roman" w:hAnsi="Times New Roman" w:cs="Times New Roman"/>
          <w:b/>
          <w:bCs/>
          <w:lang w:val="es-ES"/>
        </w:rPr>
      </w:pPr>
      <w:r w:rsidRPr="007766BF">
        <w:rPr>
          <w:rFonts w:ascii="Times New Roman" w:hAnsi="Times New Roman" w:cs="Times New Roman"/>
          <w:b/>
          <w:bCs/>
          <w:lang w:val="es-ES"/>
        </w:rPr>
        <w:t>Artículo 266.- Allanamiento a la demanda.</w:t>
      </w:r>
    </w:p>
    <w:p w14:paraId="28982CDD"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El demandado podrá allanarse a la demanda en su contestación, o con posterioridad en la audiencia preliminar, aceptando total o parcialmente la pretensión.</w:t>
      </w:r>
    </w:p>
    <w:p w14:paraId="70FDE0CA"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En caso de allanamiento total, o cuando el demandado no contradiga en materia sustancial y pertinente los hechos afirmados por el actor en su demanda, el tribunal, concluida la audiencia preliminar, deberá dictar sentencia definitiva en los términos establecidos en el artículo 283, sin necesidad de prueba ni de ningún otro trámite.</w:t>
      </w:r>
    </w:p>
    <w:p w14:paraId="56A5A2A9"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Corresponderá, por el contrario, seguir los trámites del proceso respectivo si el allanamiento fuera parcial, si la cuestión planteada fuere de orden público o se tratare de derechos indisponibles.</w:t>
      </w:r>
    </w:p>
    <w:p w14:paraId="2B5E2236" w14:textId="77777777" w:rsidR="007766BF" w:rsidRPr="007766BF" w:rsidRDefault="007766BF" w:rsidP="007766BF">
      <w:pPr>
        <w:jc w:val="both"/>
        <w:rPr>
          <w:rFonts w:ascii="Times New Roman" w:hAnsi="Times New Roman" w:cs="Times New Roman"/>
          <w:b/>
          <w:bCs/>
          <w:lang w:val="es-ES"/>
        </w:rPr>
      </w:pPr>
      <w:r w:rsidRPr="007766BF">
        <w:rPr>
          <w:rFonts w:ascii="Times New Roman" w:hAnsi="Times New Roman" w:cs="Times New Roman"/>
          <w:b/>
          <w:bCs/>
          <w:lang w:val="es-ES"/>
        </w:rPr>
        <w:t>Artículo 267.- Excepciones previas.</w:t>
      </w:r>
    </w:p>
    <w:p w14:paraId="55532BE9"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El demandado, en la contestación de la demanda, puede oponer como excepciones previas las siguientes:</w:t>
      </w:r>
    </w:p>
    <w:p w14:paraId="72C86F9F"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1. La falta de jurisdicción o la incompetencia del tribunal.</w:t>
      </w:r>
    </w:p>
    <w:p w14:paraId="0E6F08C5"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lastRenderedPageBreak/>
        <w:t>2. La litispendencia.</w:t>
      </w:r>
    </w:p>
    <w:p w14:paraId="54B03785"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3. La ineptitud del libelo por incumplimiento de los requisitos del artículo 253.</w:t>
      </w:r>
    </w:p>
    <w:p w14:paraId="074ECDE0"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4. La incapacidad del actor o la falta de personería o representación del que comparece a su nombre.</w:t>
      </w:r>
    </w:p>
    <w:p w14:paraId="753CB4B5"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5. La falta de constitución de un litisconsorcio necesario, sea activo o pasivo.</w:t>
      </w:r>
    </w:p>
    <w:p w14:paraId="34ED75A5"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6. La prescripción de la acción.</w:t>
      </w:r>
    </w:p>
    <w:p w14:paraId="14C71861"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7. La caducidad del derecho.</w:t>
      </w:r>
    </w:p>
    <w:p w14:paraId="34FF081F"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8. La cosa juzgada.</w:t>
      </w:r>
    </w:p>
    <w:p w14:paraId="36E760A8"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9. La falta manifiesta de legitimación o interés.</w:t>
      </w:r>
    </w:p>
    <w:p w14:paraId="6573ED3D"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10. El pago efectivo de la deuda.</w:t>
      </w:r>
    </w:p>
    <w:p w14:paraId="2B611FB1"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11. El beneficio de excusión.</w:t>
      </w:r>
    </w:p>
    <w:p w14:paraId="48099DAB" w14:textId="77777777" w:rsidR="007766BF" w:rsidRPr="007766BF" w:rsidRDefault="007766BF" w:rsidP="007766BF">
      <w:pPr>
        <w:jc w:val="both"/>
        <w:rPr>
          <w:rFonts w:ascii="Times New Roman" w:hAnsi="Times New Roman" w:cs="Times New Roman"/>
          <w:lang w:val="es-ES"/>
        </w:rPr>
      </w:pPr>
      <w:r w:rsidRPr="007766BF">
        <w:rPr>
          <w:rFonts w:ascii="Times New Roman" w:hAnsi="Times New Roman" w:cs="Times New Roman"/>
          <w:lang w:val="es-ES"/>
        </w:rPr>
        <w:t>12. Cualquier otro defecto que pudiera afectar la existencia, validez o eficacia del proceso.</w:t>
      </w:r>
    </w:p>
    <w:p w14:paraId="33F29731" w14:textId="37C5E4A8" w:rsidR="007766BF" w:rsidRPr="007766BF" w:rsidRDefault="007766BF" w:rsidP="007766BF">
      <w:pPr>
        <w:jc w:val="both"/>
        <w:rPr>
          <w:rFonts w:ascii="Times New Roman" w:hAnsi="Times New Roman" w:cs="Times New Roman"/>
          <w:b/>
          <w:bCs/>
          <w:lang w:val="es-ES"/>
        </w:rPr>
      </w:pPr>
      <w:r w:rsidRPr="007766BF">
        <w:rPr>
          <w:rFonts w:ascii="Times New Roman" w:hAnsi="Times New Roman" w:cs="Times New Roman"/>
          <w:b/>
          <w:bCs/>
          <w:lang w:val="es-ES"/>
        </w:rPr>
        <w:t>Fuentes internas utilizadas</w:t>
      </w:r>
    </w:p>
    <w:p w14:paraId="7C9F061E" w14:textId="6CA1337A" w:rsidR="007766BF" w:rsidRPr="000647E8" w:rsidRDefault="007766BF" w:rsidP="000647E8">
      <w:pPr>
        <w:pStyle w:val="Prrafodelista"/>
        <w:numPr>
          <w:ilvl w:val="0"/>
          <w:numId w:val="2"/>
        </w:numPr>
        <w:ind w:left="284" w:hanging="284"/>
        <w:jc w:val="both"/>
        <w:rPr>
          <w:rFonts w:ascii="Times New Roman" w:hAnsi="Times New Roman" w:cs="Times New Roman"/>
          <w:lang w:val="es-ES"/>
        </w:rPr>
      </w:pPr>
      <w:r w:rsidRPr="000647E8">
        <w:rPr>
          <w:rFonts w:ascii="Times New Roman" w:hAnsi="Times New Roman" w:cs="Times New Roman"/>
          <w:lang w:val="es-ES"/>
        </w:rPr>
        <w:t>Comparado del proyecto de ley, en segundo trámite constitucional, que establece un nuevo Código Procesal Civil. Boletín N° 8.197-07. Texto del proyecto despachado por la Cámara de Diputados, 27 de mayo de 2014.</w:t>
      </w:r>
    </w:p>
    <w:p w14:paraId="7BBAAC7F" w14:textId="48CF0385" w:rsidR="007766BF" w:rsidRPr="000647E8" w:rsidRDefault="007766BF" w:rsidP="000647E8">
      <w:pPr>
        <w:pStyle w:val="Prrafodelista"/>
        <w:numPr>
          <w:ilvl w:val="0"/>
          <w:numId w:val="2"/>
        </w:numPr>
        <w:ind w:left="284" w:hanging="284"/>
        <w:jc w:val="both"/>
        <w:rPr>
          <w:rFonts w:ascii="Times New Roman" w:hAnsi="Times New Roman" w:cs="Times New Roman"/>
          <w:lang w:val="es-ES"/>
        </w:rPr>
      </w:pPr>
      <w:r w:rsidRPr="000647E8">
        <w:rPr>
          <w:rFonts w:ascii="Times New Roman" w:hAnsi="Times New Roman" w:cs="Times New Roman"/>
          <w:lang w:val="es-ES"/>
        </w:rPr>
        <w:t>Indicaciones del Ejecutivo N° 053-369, de 16 de abril de 2021, consideradas solo como advertencia de posible variación de numeración o consolidación posterior.</w:t>
      </w:r>
    </w:p>
    <w:p w14:paraId="31907FC8" w14:textId="220C6593" w:rsidR="009C3915" w:rsidRPr="000647E8" w:rsidRDefault="007766BF" w:rsidP="000647E8">
      <w:pPr>
        <w:pStyle w:val="Prrafodelista"/>
        <w:numPr>
          <w:ilvl w:val="0"/>
          <w:numId w:val="2"/>
        </w:numPr>
        <w:ind w:left="284" w:hanging="284"/>
        <w:jc w:val="both"/>
        <w:rPr>
          <w:lang w:val="es-ES"/>
        </w:rPr>
      </w:pPr>
      <w:r w:rsidRPr="000647E8">
        <w:rPr>
          <w:rFonts w:ascii="Times New Roman" w:hAnsi="Times New Roman" w:cs="Times New Roman"/>
          <w:lang w:val="es-ES"/>
        </w:rPr>
        <w:t>Ficha legislativa oficial de la Cámara de Diputadas y Diputados, Boletín N° 8197-07, revisada para confirmar el estado de segundo trámite constitucional.</w:t>
      </w:r>
    </w:p>
    <w:sectPr w:rsidR="009C3915" w:rsidRPr="000647E8">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6C59B" w14:textId="77777777" w:rsidR="00E12A32" w:rsidRDefault="00E12A32" w:rsidP="006F4B87">
      <w:pPr>
        <w:spacing w:after="0" w:line="240" w:lineRule="auto"/>
      </w:pPr>
      <w:r>
        <w:separator/>
      </w:r>
    </w:p>
  </w:endnote>
  <w:endnote w:type="continuationSeparator" w:id="0">
    <w:p w14:paraId="58CB0263" w14:textId="77777777" w:rsidR="00E12A32" w:rsidRDefault="00E12A32" w:rsidP="006F4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62E94" w14:textId="77777777" w:rsidR="00E12A32" w:rsidRDefault="00E12A32" w:rsidP="006F4B87">
      <w:pPr>
        <w:spacing w:after="0" w:line="240" w:lineRule="auto"/>
      </w:pPr>
      <w:r>
        <w:separator/>
      </w:r>
    </w:p>
  </w:footnote>
  <w:footnote w:type="continuationSeparator" w:id="0">
    <w:p w14:paraId="4520B004" w14:textId="77777777" w:rsidR="00E12A32" w:rsidRDefault="00E12A32" w:rsidP="006F4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79C46" w14:textId="4653F040" w:rsidR="006F4B87" w:rsidRDefault="006F4B87">
    <w:pPr>
      <w:pStyle w:val="Encabezado"/>
    </w:pPr>
    <w:r>
      <w:rPr>
        <w:noProof/>
      </w:rPr>
      <w:drawing>
        <wp:inline distT="0" distB="0" distL="0" distR="0" wp14:anchorId="1D34A24A" wp14:editId="65898961">
          <wp:extent cx="5612130" cy="508000"/>
          <wp:effectExtent l="0" t="0" r="7620" b="6350"/>
          <wp:docPr id="2772480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248015" name="Imagen 277248015"/>
                  <pic:cNvPicPr/>
                </pic:nvPicPr>
                <pic:blipFill>
                  <a:blip r:embed="rId1">
                    <a:extLst>
                      <a:ext uri="{28A0092B-C50C-407E-A947-70E740481C1C}">
                        <a14:useLocalDpi xmlns:a14="http://schemas.microsoft.com/office/drawing/2010/main" val="0"/>
                      </a:ext>
                    </a:extLst>
                  </a:blip>
                  <a:stretch>
                    <a:fillRect/>
                  </a:stretch>
                </pic:blipFill>
                <pic:spPr>
                  <a:xfrm>
                    <a:off x="0" y="0"/>
                    <a:ext cx="5612130" cy="508000"/>
                  </a:xfrm>
                  <a:prstGeom prst="rect">
                    <a:avLst/>
                  </a:prstGeom>
                </pic:spPr>
              </pic:pic>
            </a:graphicData>
          </a:graphic>
        </wp:inline>
      </w:drawing>
    </w:r>
  </w:p>
  <w:p w14:paraId="3CDF1CCF" w14:textId="77777777" w:rsidR="006F4B87" w:rsidRDefault="006F4B8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72BF7"/>
    <w:multiLevelType w:val="hybridMultilevel"/>
    <w:tmpl w:val="A47A7866"/>
    <w:lvl w:ilvl="0" w:tplc="9D20737A">
      <w:numFmt w:val="bullet"/>
      <w:lvlText w:val="-"/>
      <w:lvlJc w:val="left"/>
      <w:pPr>
        <w:ind w:left="720" w:hanging="360"/>
      </w:pPr>
      <w:rPr>
        <w:rFonts w:ascii="Times New Roman" w:eastAsiaTheme="minorHAnsi"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6C1708A3"/>
    <w:multiLevelType w:val="hybridMultilevel"/>
    <w:tmpl w:val="27F07A7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265310410">
    <w:abstractNumId w:val="1"/>
  </w:num>
  <w:num w:numId="2" w16cid:durableId="1706322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B87"/>
    <w:rsid w:val="000647E8"/>
    <w:rsid w:val="00143785"/>
    <w:rsid w:val="001D2F16"/>
    <w:rsid w:val="001E1539"/>
    <w:rsid w:val="005F2678"/>
    <w:rsid w:val="006F4B87"/>
    <w:rsid w:val="007766BF"/>
    <w:rsid w:val="008E151E"/>
    <w:rsid w:val="009C3915"/>
    <w:rsid w:val="00A21E5E"/>
    <w:rsid w:val="00E06401"/>
    <w:rsid w:val="00E12A3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04E39"/>
  <w15:chartTrackingRefBased/>
  <w15:docId w15:val="{362A4DB0-4E12-4680-8C97-B10CBADA6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6F4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F4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F4B8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F4B8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F4B8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F4B8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F4B8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F4B8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F4B8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F4B87"/>
    <w:rPr>
      <w:rFonts w:asciiTheme="majorHAnsi" w:eastAsiaTheme="majorEastAsia" w:hAnsiTheme="majorHAnsi" w:cstheme="majorBidi"/>
      <w:color w:val="0F4761" w:themeColor="accent1" w:themeShade="BF"/>
      <w:sz w:val="40"/>
      <w:szCs w:val="40"/>
      <w:lang w:val="en-US"/>
    </w:rPr>
  </w:style>
  <w:style w:type="character" w:customStyle="1" w:styleId="Ttulo2Car">
    <w:name w:val="Título 2 Car"/>
    <w:basedOn w:val="Fuentedeprrafopredeter"/>
    <w:link w:val="Ttulo2"/>
    <w:uiPriority w:val="9"/>
    <w:semiHidden/>
    <w:rsid w:val="006F4B87"/>
    <w:rPr>
      <w:rFonts w:asciiTheme="majorHAnsi" w:eastAsiaTheme="majorEastAsia" w:hAnsiTheme="majorHAnsi" w:cstheme="majorBidi"/>
      <w:color w:val="0F4761" w:themeColor="accent1" w:themeShade="BF"/>
      <w:sz w:val="32"/>
      <w:szCs w:val="32"/>
      <w:lang w:val="en-US"/>
    </w:rPr>
  </w:style>
  <w:style w:type="character" w:customStyle="1" w:styleId="Ttulo3Car">
    <w:name w:val="Título 3 Car"/>
    <w:basedOn w:val="Fuentedeprrafopredeter"/>
    <w:link w:val="Ttulo3"/>
    <w:uiPriority w:val="9"/>
    <w:semiHidden/>
    <w:rsid w:val="006F4B87"/>
    <w:rPr>
      <w:rFonts w:eastAsiaTheme="majorEastAsia" w:cstheme="majorBidi"/>
      <w:color w:val="0F4761" w:themeColor="accent1" w:themeShade="BF"/>
      <w:sz w:val="28"/>
      <w:szCs w:val="28"/>
      <w:lang w:val="en-US"/>
    </w:rPr>
  </w:style>
  <w:style w:type="character" w:customStyle="1" w:styleId="Ttulo4Car">
    <w:name w:val="Título 4 Car"/>
    <w:basedOn w:val="Fuentedeprrafopredeter"/>
    <w:link w:val="Ttulo4"/>
    <w:uiPriority w:val="9"/>
    <w:semiHidden/>
    <w:rsid w:val="006F4B87"/>
    <w:rPr>
      <w:rFonts w:eastAsiaTheme="majorEastAsia" w:cstheme="majorBidi"/>
      <w:i/>
      <w:iCs/>
      <w:color w:val="0F4761" w:themeColor="accent1" w:themeShade="BF"/>
      <w:lang w:val="en-US"/>
    </w:rPr>
  </w:style>
  <w:style w:type="character" w:customStyle="1" w:styleId="Ttulo5Car">
    <w:name w:val="Título 5 Car"/>
    <w:basedOn w:val="Fuentedeprrafopredeter"/>
    <w:link w:val="Ttulo5"/>
    <w:uiPriority w:val="9"/>
    <w:semiHidden/>
    <w:rsid w:val="006F4B87"/>
    <w:rPr>
      <w:rFonts w:eastAsiaTheme="majorEastAsia" w:cstheme="majorBidi"/>
      <w:color w:val="0F4761" w:themeColor="accent1" w:themeShade="BF"/>
      <w:lang w:val="en-US"/>
    </w:rPr>
  </w:style>
  <w:style w:type="character" w:customStyle="1" w:styleId="Ttulo6Car">
    <w:name w:val="Título 6 Car"/>
    <w:basedOn w:val="Fuentedeprrafopredeter"/>
    <w:link w:val="Ttulo6"/>
    <w:uiPriority w:val="9"/>
    <w:semiHidden/>
    <w:rsid w:val="006F4B87"/>
    <w:rPr>
      <w:rFonts w:eastAsiaTheme="majorEastAsia" w:cstheme="majorBidi"/>
      <w:i/>
      <w:iCs/>
      <w:color w:val="595959" w:themeColor="text1" w:themeTint="A6"/>
      <w:lang w:val="en-US"/>
    </w:rPr>
  </w:style>
  <w:style w:type="character" w:customStyle="1" w:styleId="Ttulo7Car">
    <w:name w:val="Título 7 Car"/>
    <w:basedOn w:val="Fuentedeprrafopredeter"/>
    <w:link w:val="Ttulo7"/>
    <w:uiPriority w:val="9"/>
    <w:semiHidden/>
    <w:rsid w:val="006F4B87"/>
    <w:rPr>
      <w:rFonts w:eastAsiaTheme="majorEastAsia" w:cstheme="majorBidi"/>
      <w:color w:val="595959" w:themeColor="text1" w:themeTint="A6"/>
      <w:lang w:val="en-US"/>
    </w:rPr>
  </w:style>
  <w:style w:type="character" w:customStyle="1" w:styleId="Ttulo8Car">
    <w:name w:val="Título 8 Car"/>
    <w:basedOn w:val="Fuentedeprrafopredeter"/>
    <w:link w:val="Ttulo8"/>
    <w:uiPriority w:val="9"/>
    <w:semiHidden/>
    <w:rsid w:val="006F4B87"/>
    <w:rPr>
      <w:rFonts w:eastAsiaTheme="majorEastAsia" w:cstheme="majorBidi"/>
      <w:i/>
      <w:iCs/>
      <w:color w:val="272727" w:themeColor="text1" w:themeTint="D8"/>
      <w:lang w:val="en-US"/>
    </w:rPr>
  </w:style>
  <w:style w:type="character" w:customStyle="1" w:styleId="Ttulo9Car">
    <w:name w:val="Título 9 Car"/>
    <w:basedOn w:val="Fuentedeprrafopredeter"/>
    <w:link w:val="Ttulo9"/>
    <w:uiPriority w:val="9"/>
    <w:semiHidden/>
    <w:rsid w:val="006F4B87"/>
    <w:rPr>
      <w:rFonts w:eastAsiaTheme="majorEastAsia" w:cstheme="majorBidi"/>
      <w:color w:val="272727" w:themeColor="text1" w:themeTint="D8"/>
      <w:lang w:val="en-US"/>
    </w:rPr>
  </w:style>
  <w:style w:type="paragraph" w:styleId="Ttulo">
    <w:name w:val="Title"/>
    <w:basedOn w:val="Normal"/>
    <w:next w:val="Normal"/>
    <w:link w:val="TtuloCar"/>
    <w:uiPriority w:val="10"/>
    <w:qFormat/>
    <w:rsid w:val="006F4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F4B87"/>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ar"/>
    <w:uiPriority w:val="11"/>
    <w:qFormat/>
    <w:rsid w:val="006F4B8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F4B87"/>
    <w:rPr>
      <w:rFonts w:eastAsiaTheme="majorEastAsia" w:cstheme="majorBidi"/>
      <w:color w:val="595959" w:themeColor="text1" w:themeTint="A6"/>
      <w:spacing w:val="15"/>
      <w:sz w:val="28"/>
      <w:szCs w:val="28"/>
      <w:lang w:val="en-US"/>
    </w:rPr>
  </w:style>
  <w:style w:type="paragraph" w:styleId="Cita">
    <w:name w:val="Quote"/>
    <w:basedOn w:val="Normal"/>
    <w:next w:val="Normal"/>
    <w:link w:val="CitaCar"/>
    <w:uiPriority w:val="29"/>
    <w:qFormat/>
    <w:rsid w:val="006F4B87"/>
    <w:pPr>
      <w:spacing w:before="160"/>
      <w:jc w:val="center"/>
    </w:pPr>
    <w:rPr>
      <w:i/>
      <w:iCs/>
      <w:color w:val="404040" w:themeColor="text1" w:themeTint="BF"/>
    </w:rPr>
  </w:style>
  <w:style w:type="character" w:customStyle="1" w:styleId="CitaCar">
    <w:name w:val="Cita Car"/>
    <w:basedOn w:val="Fuentedeprrafopredeter"/>
    <w:link w:val="Cita"/>
    <w:uiPriority w:val="29"/>
    <w:rsid w:val="006F4B87"/>
    <w:rPr>
      <w:i/>
      <w:iCs/>
      <w:color w:val="404040" w:themeColor="text1" w:themeTint="BF"/>
      <w:lang w:val="en-US"/>
    </w:rPr>
  </w:style>
  <w:style w:type="paragraph" w:styleId="Prrafodelista">
    <w:name w:val="List Paragraph"/>
    <w:basedOn w:val="Normal"/>
    <w:uiPriority w:val="34"/>
    <w:qFormat/>
    <w:rsid w:val="006F4B87"/>
    <w:pPr>
      <w:ind w:left="720"/>
      <w:contextualSpacing/>
    </w:pPr>
  </w:style>
  <w:style w:type="character" w:styleId="nfasisintenso">
    <w:name w:val="Intense Emphasis"/>
    <w:basedOn w:val="Fuentedeprrafopredeter"/>
    <w:uiPriority w:val="21"/>
    <w:qFormat/>
    <w:rsid w:val="006F4B87"/>
    <w:rPr>
      <w:i/>
      <w:iCs/>
      <w:color w:val="0F4761" w:themeColor="accent1" w:themeShade="BF"/>
    </w:rPr>
  </w:style>
  <w:style w:type="paragraph" w:styleId="Citadestacada">
    <w:name w:val="Intense Quote"/>
    <w:basedOn w:val="Normal"/>
    <w:next w:val="Normal"/>
    <w:link w:val="CitadestacadaCar"/>
    <w:uiPriority w:val="30"/>
    <w:qFormat/>
    <w:rsid w:val="006F4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F4B87"/>
    <w:rPr>
      <w:i/>
      <w:iCs/>
      <w:color w:val="0F4761" w:themeColor="accent1" w:themeShade="BF"/>
      <w:lang w:val="en-US"/>
    </w:rPr>
  </w:style>
  <w:style w:type="character" w:styleId="Referenciaintensa">
    <w:name w:val="Intense Reference"/>
    <w:basedOn w:val="Fuentedeprrafopredeter"/>
    <w:uiPriority w:val="32"/>
    <w:qFormat/>
    <w:rsid w:val="006F4B87"/>
    <w:rPr>
      <w:b/>
      <w:bCs/>
      <w:smallCaps/>
      <w:color w:val="0F4761" w:themeColor="accent1" w:themeShade="BF"/>
      <w:spacing w:val="5"/>
    </w:rPr>
  </w:style>
  <w:style w:type="paragraph" w:styleId="Encabezado">
    <w:name w:val="header"/>
    <w:basedOn w:val="Normal"/>
    <w:link w:val="EncabezadoCar"/>
    <w:uiPriority w:val="99"/>
    <w:unhideWhenUsed/>
    <w:rsid w:val="006F4B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F4B87"/>
    <w:rPr>
      <w:lang w:val="en-US"/>
    </w:rPr>
  </w:style>
  <w:style w:type="paragraph" w:styleId="Piedepgina">
    <w:name w:val="footer"/>
    <w:basedOn w:val="Normal"/>
    <w:link w:val="PiedepginaCar"/>
    <w:uiPriority w:val="99"/>
    <w:unhideWhenUsed/>
    <w:rsid w:val="006F4B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F4B8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2736</Characters>
  <Application>Microsoft Office Word</Application>
  <DocSecurity>0</DocSecurity>
  <Lines>22</Lines>
  <Paragraphs>6</Paragraphs>
  <ScaleCrop>false</ScaleCrop>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Navarro Gil</dc:creator>
  <cp:keywords/>
  <dc:description/>
  <cp:lastModifiedBy>Daniela Navarro Gil</cp:lastModifiedBy>
  <cp:revision>2</cp:revision>
  <dcterms:created xsi:type="dcterms:W3CDTF">2026-10-05T14:35:00Z</dcterms:created>
  <dcterms:modified xsi:type="dcterms:W3CDTF">2026-10-05T14:35:00Z</dcterms:modified>
</cp:coreProperties>
</file>